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745ED" w:rsidRPr="008745ED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8745ED" w:rsidRPr="008745ED" w:rsidRDefault="008745ED" w:rsidP="008745ED">
            <w:pPr>
              <w:spacing w:after="0" w:line="240" w:lineRule="auto"/>
              <w:ind w:left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  <w:lang w:eastAsia="zh-CN" w:bidi="ar-SA"/>
              </w:rPr>
            </w:pPr>
            <w:r w:rsidRPr="008745ED">
              <w:rPr>
                <w:rFonts w:ascii="宋体" w:eastAsia="宋体" w:hAnsi="宋体" w:cs="宋体"/>
                <w:b/>
                <w:bCs/>
                <w:color w:val="000000"/>
                <w:sz w:val="21"/>
                <w:szCs w:val="21"/>
                <w:lang w:eastAsia="zh-CN" w:bidi="ar-SA"/>
              </w:rPr>
              <w:t>关于转发全日制硕士专业学位研究生指导性培养方案的通知</w:t>
            </w:r>
          </w:p>
        </w:tc>
      </w:tr>
      <w:tr w:rsidR="008745ED" w:rsidRPr="008745ED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5ED" w:rsidRPr="008745ED" w:rsidRDefault="008745ED" w:rsidP="008745ED">
            <w:pPr>
              <w:spacing w:after="0" w:line="240" w:lineRule="auto"/>
              <w:ind w:left="0"/>
              <w:rPr>
                <w:rFonts w:ascii="宋体" w:eastAsia="宋体" w:hAnsi="宋体" w:cs="宋体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:rsidR="008745ED" w:rsidRPr="008745ED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5ED" w:rsidRPr="008745ED" w:rsidRDefault="008745ED" w:rsidP="008745ED">
            <w:pPr>
              <w:spacing w:before="100" w:beforeAutospacing="1" w:after="100" w:afterAutospacing="1" w:line="240" w:lineRule="auto"/>
              <w:ind w:left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  <w:lang w:eastAsia="zh-CN" w:bidi="ar-SA"/>
              </w:rPr>
            </w:pPr>
            <w:r w:rsidRPr="008745ED">
              <w:rPr>
                <w:rFonts w:ascii="宋体" w:eastAsia="宋体" w:hAnsi="宋体" w:cs="宋体"/>
                <w:color w:val="000000"/>
                <w:sz w:val="18"/>
                <w:szCs w:val="18"/>
                <w:lang w:eastAsia="zh-CN" w:bidi="ar-SA"/>
              </w:rPr>
              <w:t xml:space="preserve">文号：学位办〔2009〕23号 发布时间： 2009-05-20 </w:t>
            </w:r>
          </w:p>
        </w:tc>
      </w:tr>
      <w:tr w:rsidR="008745ED" w:rsidRPr="008745ED">
        <w:trPr>
          <w:trHeight w:val="3750"/>
          <w:tblCellSpacing w:w="0" w:type="dxa"/>
        </w:trPr>
        <w:tc>
          <w:tcPr>
            <w:tcW w:w="0" w:type="auto"/>
            <w:hideMark/>
          </w:tcPr>
          <w:p w:rsidR="008745ED" w:rsidRPr="008745ED" w:rsidRDefault="008745ED" w:rsidP="008745ED">
            <w:pPr>
              <w:spacing w:after="0" w:line="432" w:lineRule="auto"/>
              <w:ind w:left="0"/>
              <w:rPr>
                <w:rFonts w:ascii="宋体" w:eastAsia="宋体" w:hAnsi="宋体" w:cs="宋体"/>
                <w:color w:val="000000"/>
                <w:sz w:val="18"/>
                <w:lang w:eastAsia="zh-CN" w:bidi="ar-SA"/>
              </w:rPr>
            </w:pPr>
            <w:r w:rsidRPr="008745ED">
              <w:rPr>
                <w:rFonts w:ascii="宋体" w:eastAsia="宋体" w:hAnsi="宋体" w:cs="宋体"/>
                <w:color w:val="000000"/>
                <w:sz w:val="18"/>
                <w:szCs w:val="18"/>
                <w:lang w:eastAsia="zh-CN" w:bidi="ar-SA"/>
              </w:rPr>
              <w:br/>
            </w:r>
            <w:r w:rsidRPr="008745ED">
              <w:rPr>
                <w:rFonts w:ascii="宋体" w:eastAsia="宋体" w:hAnsi="宋体" w:cs="宋体"/>
                <w:color w:val="000000"/>
                <w:sz w:val="18"/>
                <w:szCs w:val="18"/>
                <w:lang w:eastAsia="zh-CN" w:bidi="ar-SA"/>
              </w:rPr>
              <w:br/>
              <w:t xml:space="preserve">　　</w:t>
            </w:r>
            <w:r w:rsidRPr="008745ED">
              <w:rPr>
                <w:rFonts w:ascii="宋体" w:eastAsia="宋体" w:hAnsi="宋体" w:cs="宋体"/>
                <w:color w:val="000000"/>
                <w:sz w:val="18"/>
                <w:lang w:eastAsia="zh-CN" w:bidi="ar-SA"/>
              </w:rPr>
              <w:t xml:space="preserve"> </w:t>
            </w:r>
          </w:p>
          <w:p w:rsidR="008745ED" w:rsidRPr="008745ED" w:rsidRDefault="008745ED" w:rsidP="008745ED">
            <w:pPr>
              <w:snapToGrid w:val="0"/>
              <w:spacing w:after="0" w:line="600" w:lineRule="exact"/>
              <w:ind w:left="0"/>
              <w:jc w:val="center"/>
              <w:rPr>
                <w:rFonts w:ascii="华文中宋" w:eastAsia="华文中宋" w:hAnsi="华文中宋" w:cs="宋体"/>
                <w:b/>
                <w:color w:val="000000"/>
                <w:sz w:val="44"/>
                <w:szCs w:val="44"/>
                <w:lang w:eastAsia="zh-CN" w:bidi="ar-SA"/>
              </w:rPr>
            </w:pPr>
            <w:r w:rsidRPr="008745ED">
              <w:rPr>
                <w:rFonts w:ascii="华文中宋" w:eastAsia="华文中宋" w:hAnsi="华文中宋" w:cs="宋体" w:hint="eastAsia"/>
                <w:b/>
                <w:color w:val="000000"/>
                <w:sz w:val="44"/>
                <w:szCs w:val="44"/>
                <w:lang w:eastAsia="zh-CN" w:bidi="ar-SA"/>
              </w:rPr>
              <w:t>关于转发全日制硕士专业学位研究生</w:t>
            </w:r>
          </w:p>
          <w:p w:rsidR="008745ED" w:rsidRPr="008745ED" w:rsidRDefault="008745ED" w:rsidP="008745ED">
            <w:pPr>
              <w:snapToGrid w:val="0"/>
              <w:spacing w:after="0" w:line="600" w:lineRule="exact"/>
              <w:ind w:left="0"/>
              <w:jc w:val="center"/>
              <w:rPr>
                <w:rFonts w:ascii="华文中宋" w:eastAsia="华文中宋" w:hAnsi="华文中宋" w:cs="宋体" w:hint="eastAsia"/>
                <w:b/>
                <w:color w:val="000000"/>
                <w:sz w:val="44"/>
                <w:szCs w:val="44"/>
                <w:lang w:eastAsia="zh-CN" w:bidi="ar-SA"/>
              </w:rPr>
            </w:pPr>
            <w:r w:rsidRPr="008745ED">
              <w:rPr>
                <w:rFonts w:ascii="华文中宋" w:eastAsia="华文中宋" w:hAnsi="华文中宋" w:cs="宋体" w:hint="eastAsia"/>
                <w:b/>
                <w:color w:val="000000"/>
                <w:sz w:val="44"/>
                <w:szCs w:val="44"/>
                <w:lang w:eastAsia="zh-CN" w:bidi="ar-SA"/>
              </w:rPr>
              <w:t>指导性培养方案的通知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/>
              <w:jc w:val="right"/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学位办〔2009〕23号</w:t>
            </w:r>
          </w:p>
          <w:p w:rsidR="008745ED" w:rsidRPr="008745ED" w:rsidRDefault="008745ED" w:rsidP="008745ED">
            <w:pPr>
              <w:snapToGrid w:val="0"/>
              <w:spacing w:after="0" w:line="600" w:lineRule="exact"/>
              <w:ind w:left="0"/>
              <w:rPr>
                <w:rFonts w:ascii="仿宋_GB2312" w:eastAsia="仿宋_GB2312" w:hAnsi="宋体" w:cs="宋体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各专业学位研究生培养单位：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根据《教育部关于做好全日制硕士专业学位研究生培养工作的若干意见》（教研[2009]1号）文件精神，有关专业学位教育指导委员会组织专家制定了《全日制硕士专业学位（分类别）研究生指导性培养方案》。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现将该指导性培养方案转发给你们，请认真研究，并结合本单位实际情况，制定本单位全日制硕士专业学位研究生培养方案实施细则，于2009年6月底前报有关专业学位教育指导委员会秘书处备案。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附件：《全日制硕士专业学位（分类别）研究生指导性培养方案》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国务院学位委员会办公室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480"/>
              <w:jc w:val="right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宋体" w:eastAsia="宋体" w:hAnsi="宋体" w:cs="宋体" w:hint="eastAsia"/>
                <w:color w:val="000000"/>
                <w:sz w:val="24"/>
                <w:szCs w:val="24"/>
                <w:lang w:eastAsia="zh-CN" w:bidi="ar-SA"/>
              </w:rPr>
              <w:pict>
                <v:group id="_x0000_s1026" style="position:absolute;left:0;text-align:left;margin-left:-27.8pt;margin-top:32.05pt;width:473.4pt;height:654.5pt;z-index:-251658240;mso-position-horizontal-relative:margin;mso-position-vertical-relative:margin" coordorigin="1247,2049" coordsize="9468,13090">
                  <v:group id="_x0000_s1027" style="position:absolute;left:1247;top:2049;width:9468;height:1126" coordorigin="1247,2049" coordsize="9468,1126"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_x0000_s1028" type="#_x0000_t136" style="position:absolute;left:1875;top:2049;width:8277;height:709" filled="f" fillcolor="red" stroked="f" strokecolor="red">
                      <v:shadow color="#868686"/>
                      <v:textpath style="font-family:&quot;华文中宋&quot;;font-size:28pt;v-text-align:stretch-justify;v-text-kern:t;v-same-letter-heights:t" trim="t" fitpath="t" string="中华人民共和国国务院学位委员会"/>
                    </v:shape>
                    <v:line id="_x0000_s1029" style="position:absolute;mso-position-horizontal-relative:page;mso-position-vertical-relative:page" from="1247,3175" to="10715,3175" o:allowoverlap="f" stroked="f" strokecolor="red" strokeweight="5pt">
                      <v:stroke linestyle="thickThin"/>
                    </v:line>
                  </v:group>
                  <v:line id="_x0000_s1030" style="position:absolute;mso-position-horizontal-relative:page;mso-position-vertical-relative:page" from="1247,15139" to="10715,15139" o:allowoverlap="f" stroked="f" strokecolor="red" strokeweight="5pt">
                    <v:stroke linestyle="thinThick"/>
                  </v:line>
                  <w10:wrap anchorx="margin" anchory="margin"/>
                </v:group>
              </w:pict>
            </w: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二</w:t>
            </w:r>
            <w:proofErr w:type="gramStart"/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00</w:t>
            </w:r>
            <w:proofErr w:type="gramEnd"/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九年五月十九日</w:t>
            </w:r>
          </w:p>
          <w:p w:rsidR="008745ED" w:rsidRPr="008745ED" w:rsidRDefault="008745ED" w:rsidP="008745ED">
            <w:pPr>
              <w:snapToGrid w:val="0"/>
              <w:spacing w:after="0" w:line="6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</w:p>
          <w:p w:rsidR="008745ED" w:rsidRPr="008745ED" w:rsidRDefault="008745ED" w:rsidP="008745ED">
            <w:pPr>
              <w:snapToGrid w:val="0"/>
              <w:spacing w:afterLines="30" w:line="440" w:lineRule="exact"/>
              <w:ind w:left="0"/>
              <w:jc w:val="center"/>
              <w:rPr>
                <w:rFonts w:ascii="华文中宋" w:eastAsia="华文中宋" w:hAnsi="华文中宋" w:cs="宋体" w:hint="eastAsia"/>
                <w:b/>
                <w:color w:val="000000"/>
                <w:sz w:val="36"/>
                <w:szCs w:val="36"/>
                <w:lang w:eastAsia="zh-CN" w:bidi="ar-SA"/>
              </w:rPr>
            </w:pPr>
            <w:r w:rsidRPr="008745ED">
              <w:rPr>
                <w:rFonts w:ascii="华文中宋" w:eastAsia="华文中宋" w:hAnsi="华文中宋" w:cs="宋体" w:hint="eastAsia"/>
                <w:b/>
                <w:color w:val="000000"/>
                <w:sz w:val="36"/>
                <w:szCs w:val="36"/>
                <w:lang w:eastAsia="zh-CN" w:bidi="ar-SA"/>
              </w:rPr>
              <w:t>关于制订全日制工程硕士研究生培养方案的指导意见</w:t>
            </w:r>
          </w:p>
          <w:p w:rsidR="008745ED" w:rsidRPr="008745ED" w:rsidRDefault="008745ED" w:rsidP="008745ED">
            <w:pPr>
              <w:snapToGrid w:val="0"/>
              <w:spacing w:after="0" w:line="200" w:lineRule="exact"/>
              <w:ind w:left="0"/>
              <w:jc w:val="center"/>
              <w:rPr>
                <w:rFonts w:ascii="华文中宋" w:eastAsia="华文中宋" w:hAnsi="华文中宋" w:cs="宋体" w:hint="eastAsia"/>
                <w:b/>
                <w:color w:val="000000"/>
                <w:sz w:val="36"/>
                <w:szCs w:val="36"/>
                <w:lang w:eastAsia="zh-CN" w:bidi="ar-SA"/>
              </w:rPr>
            </w:pP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28"/>
                <w:lang w:eastAsia="zh-CN" w:bidi="ar-SA"/>
              </w:rPr>
            </w:pP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为保证全日制工程硕士研究生的培养质量，特制定本指导意见，</w:t>
            </w:r>
            <w:proofErr w:type="gramStart"/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供培养</w:t>
            </w:r>
            <w:proofErr w:type="gramEnd"/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单位制订培养方案时参考。</w:t>
            </w:r>
          </w:p>
          <w:p w:rsidR="008745ED" w:rsidRPr="008745ED" w:rsidRDefault="008745ED" w:rsidP="008745ED">
            <w:pPr>
              <w:tabs>
                <w:tab w:val="left" w:pos="1080"/>
              </w:tabs>
              <w:snapToGrid w:val="0"/>
              <w:spacing w:after="0" w:line="400" w:lineRule="exact"/>
              <w:ind w:left="0" w:firstLineChars="200" w:firstLine="640"/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一、培养目标</w:t>
            </w:r>
          </w:p>
          <w:p w:rsidR="008745ED" w:rsidRPr="008745ED" w:rsidRDefault="008745ED" w:rsidP="008745ED">
            <w:pPr>
              <w:tabs>
                <w:tab w:val="left" w:pos="1080"/>
              </w:tabs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黑体" w:cs="宋体" w:hint="eastAsia"/>
                <w:color w:val="000000"/>
                <w:sz w:val="32"/>
                <w:szCs w:val="32"/>
                <w:lang w:eastAsia="zh-CN" w:bidi="ar-SA"/>
              </w:rPr>
              <w:t>工程硕士专业学位是与工程领域任职资格相联系的专业性学位，培养应用型、复合式高层次工程技术和工程管理</w:t>
            </w:r>
            <w:r w:rsidRPr="008745ED">
              <w:rPr>
                <w:rFonts w:ascii="仿宋_GB2312" w:eastAsia="仿宋_GB2312" w:hAnsi="黑体" w:cs="宋体" w:hint="eastAsia"/>
                <w:color w:val="000000"/>
                <w:sz w:val="32"/>
                <w:szCs w:val="32"/>
                <w:lang w:eastAsia="zh-CN" w:bidi="ar-SA"/>
              </w:rPr>
              <w:lastRenderedPageBreak/>
              <w:t>人才。具体要求为：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（一）拥护党的基本路线和方针政策，热爱祖国，遵纪守法，具有良好的职业道德和敬业精神，具有科学严谨和求真务实的学习态度和工作作风，身心健康。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（二）掌握所从事领域的基础理论、先进技术方法和手段,在领域的某一方向具有独立从事工程设计、工程实施，工程研究、工程开发、工程管理等能力。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（三）掌握一门外国语。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二、</w:t>
            </w:r>
            <w:r w:rsidRPr="008745ED">
              <w:rPr>
                <w:rFonts w:ascii="黑体" w:eastAsia="黑体" w:hAnsi="宋体" w:cs="宋体" w:hint="eastAsia"/>
                <w:bCs/>
                <w:color w:val="000000"/>
                <w:sz w:val="32"/>
                <w:szCs w:val="32"/>
                <w:lang w:eastAsia="zh-CN" w:bidi="ar-SA"/>
              </w:rPr>
              <w:t>学习方式及年限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采用全日制学习方式，学习年限一般为2年。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黑体" w:eastAsia="黑体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三、培养方式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采用课程学习、实践教学和学位论文相结合的培养方式。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课程设置应体现厚基础理论、重实际应用、博前沿知识，着重突出专业实践类课程和工程实践类课程。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实践教学是全日制工程硕士研究生培养中的重要环节，鼓励工程硕士研究生到企业实习，可采用集中实践与分段实践相结合的方式。工程硕士研究生在学期间，必须保证不少于半年的实践教学，应届本科毕业生的实践教学时间原则上不少于1年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学位论文选题应来源于工程实际或具有明确的工程技术背景。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四、课程设置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课程学习和实践教学实行学分制。课程设置应包含政治理论、外语、数学和专业课。各领域可根据全日制工程硕士研究生的特点，确定各类课程的内容和学分，以达到工程硕士学位所应具备的知识结构和能力要求。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（一）公共课程（政治理论、外语等）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（二）基础理论类课程（数学类课程、专业基础课程）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（三）专业技术类课程</w:t>
            </w:r>
          </w:p>
          <w:p w:rsidR="008745ED" w:rsidRPr="008745ED" w:rsidRDefault="008745ED" w:rsidP="008745ED">
            <w:pPr>
              <w:snapToGrid w:val="0"/>
              <w:spacing w:after="0" w:line="40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 xml:space="preserve">（四）选修及其他课程 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黑体" w:eastAsia="黑体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五、学位论文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论文选题应来源于工程实际或具有明确的工程技术背景，可以是新技术、新工艺、新设备、新材料、新产品的研</w:t>
            </w: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lastRenderedPageBreak/>
              <w:t>制与开发。论文的内容可以是：工程设计与研究、技术研究或技术改造方案研究、工程软件或应用软件开发、工程管理等。论文应具备一定的技术要求和工作量，体现作者综合运用科学理论、方法和技术手段解决工程技术问题的能力，并有一定的理论基础，具有先进性、实用性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鼓励实行双导师制，其中一位导师来自培养单位，另一位导师来自企业的与本领域相关的专家。也可以根据学生的论文研究方向，成立指导小组。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论文工作须在导师指导下独立完成。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黑体" w:eastAsia="黑体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宋体" w:cs="宋体" w:hint="eastAsia"/>
                <w:color w:val="000000"/>
                <w:sz w:val="32"/>
                <w:szCs w:val="32"/>
                <w:lang w:eastAsia="zh-CN" w:bidi="ar-SA"/>
              </w:rPr>
              <w:t>六、论文评审与答辩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一）论文评审应审核：论文作者综合运用科学理论、方法和技术手段解决工程技术问题的能力；论文工作的技术难度和工作量；其解决工程技术问题的新思想、新方法和新进展；其新工艺、新技术和新设计的先进性和实用性；其创造的经济效益和社会效益等方面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（二）攻读全日制工程硕士研究生完成培养方案中规定的所有环节，获得培养方案规定的学分，成绩合格，方可申请论文答辩。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（三）论文除经导师写出详细的评阅意见外，还应有2位本领域或相近领域的专家评阅。答辩委员会应由3～5位与本领域相关的专家组成。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黑体" w:eastAsia="黑体" w:hAnsi="黑体" w:cs="宋体" w:hint="eastAsia"/>
                <w:color w:val="000000"/>
                <w:sz w:val="32"/>
                <w:szCs w:val="32"/>
                <w:lang w:eastAsia="zh-CN" w:bidi="ar-SA"/>
              </w:rPr>
              <w:t>七、学位授予</w:t>
            </w:r>
          </w:p>
          <w:p w:rsidR="008745ED" w:rsidRPr="008745ED" w:rsidRDefault="008745ED" w:rsidP="008745ED">
            <w:pPr>
              <w:snapToGrid w:val="0"/>
              <w:spacing w:after="0" w:line="460" w:lineRule="exact"/>
              <w:ind w:left="0" w:firstLineChars="200" w:firstLine="640"/>
              <w:rPr>
                <w:rFonts w:ascii="仿宋_GB2312" w:eastAsia="仿宋_GB2312" w:hAnsi="宋体" w:cs="宋体"/>
                <w:color w:val="000000"/>
                <w:sz w:val="32"/>
                <w:szCs w:val="32"/>
                <w:lang w:eastAsia="zh-CN" w:bidi="ar-SA"/>
              </w:rPr>
            </w:pPr>
            <w:r w:rsidRPr="008745E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lang w:eastAsia="zh-CN" w:bidi="ar-SA"/>
              </w:rPr>
              <w:t>修满规定学分，并通过论文答辩者，经学位授予单位学位评定委员会审核，授予工程硕士专业学位，同时获得硕士研究生毕业证书。</w:t>
            </w:r>
          </w:p>
        </w:tc>
      </w:tr>
    </w:tbl>
    <w:p w:rsidR="00FE29D5" w:rsidRDefault="00FE29D5">
      <w:pPr>
        <w:rPr>
          <w:lang w:eastAsia="zh-CN"/>
        </w:rPr>
      </w:pPr>
    </w:p>
    <w:sectPr w:rsidR="00FE29D5" w:rsidSect="00FE2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45ED"/>
    <w:rsid w:val="00022D1B"/>
    <w:rsid w:val="00752B9D"/>
    <w:rsid w:val="008745ED"/>
    <w:rsid w:val="00901BC3"/>
    <w:rsid w:val="00A460AA"/>
    <w:rsid w:val="00DD4393"/>
    <w:rsid w:val="00FE2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3"/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DD439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439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439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4393"/>
    <w:pPr>
      <w:pBdr>
        <w:bottom w:val="single" w:sz="4" w:space="1" w:color="808080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4393"/>
    <w:pPr>
      <w:pBdr>
        <w:bottom w:val="single" w:sz="4" w:space="1" w:color="666666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4393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4393"/>
    <w:pPr>
      <w:pBdr>
        <w:bottom w:val="dotted" w:sz="8" w:space="1" w:color="7B7B7B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439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439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D4393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4393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4393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DD4393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5Char">
    <w:name w:val="标题 5 Char"/>
    <w:basedOn w:val="a0"/>
    <w:link w:val="5"/>
    <w:uiPriority w:val="9"/>
    <w:semiHidden/>
    <w:rsid w:val="00DD4393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6Char">
    <w:name w:val="标题 6 Char"/>
    <w:basedOn w:val="a0"/>
    <w:link w:val="6"/>
    <w:uiPriority w:val="9"/>
    <w:semiHidden/>
    <w:rsid w:val="00DD4393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7Char">
    <w:name w:val="标题 7 Char"/>
    <w:basedOn w:val="a0"/>
    <w:link w:val="7"/>
    <w:uiPriority w:val="9"/>
    <w:semiHidden/>
    <w:rsid w:val="00DD4393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8Char">
    <w:name w:val="标题 8 Char"/>
    <w:basedOn w:val="a0"/>
    <w:link w:val="8"/>
    <w:uiPriority w:val="9"/>
    <w:semiHidden/>
    <w:rsid w:val="00DD4393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9Char">
    <w:name w:val="标题 9 Char"/>
    <w:basedOn w:val="a0"/>
    <w:link w:val="9"/>
    <w:uiPriority w:val="9"/>
    <w:semiHidden/>
    <w:rsid w:val="00DD4393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DD4393"/>
    <w:rPr>
      <w:b/>
      <w:bCs/>
      <w:smallCaps/>
      <w:color w:val="000000" w:themeColor="text2"/>
      <w:spacing w:val="10"/>
      <w:sz w:val="18"/>
      <w:szCs w:val="18"/>
    </w:rPr>
  </w:style>
  <w:style w:type="paragraph" w:styleId="a4">
    <w:name w:val="Title"/>
    <w:next w:val="a"/>
    <w:link w:val="Char"/>
    <w:uiPriority w:val="10"/>
    <w:qFormat/>
    <w:rsid w:val="00DD439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Char">
    <w:name w:val="标题 Char"/>
    <w:basedOn w:val="a0"/>
    <w:link w:val="a4"/>
    <w:uiPriority w:val="10"/>
    <w:rsid w:val="00DD4393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a5">
    <w:name w:val="Subtitle"/>
    <w:next w:val="a"/>
    <w:link w:val="Char0"/>
    <w:uiPriority w:val="11"/>
    <w:qFormat/>
    <w:rsid w:val="00DD4393"/>
    <w:pPr>
      <w:spacing w:after="600" w:line="240" w:lineRule="auto"/>
      <w:ind w:left="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DD4393"/>
    <w:rPr>
      <w:smallCaps/>
      <w:color w:val="7B7B7B" w:themeColor="background2" w:themeShade="7F"/>
      <w:spacing w:val="5"/>
      <w:sz w:val="28"/>
      <w:szCs w:val="28"/>
    </w:rPr>
  </w:style>
  <w:style w:type="character" w:styleId="a6">
    <w:name w:val="Strong"/>
    <w:uiPriority w:val="22"/>
    <w:qFormat/>
    <w:rsid w:val="00DD4393"/>
    <w:rPr>
      <w:b/>
      <w:bCs/>
      <w:spacing w:val="0"/>
    </w:rPr>
  </w:style>
  <w:style w:type="character" w:styleId="a7">
    <w:name w:val="Emphasis"/>
    <w:uiPriority w:val="20"/>
    <w:qFormat/>
    <w:rsid w:val="00DD439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8">
    <w:name w:val="No Spacing"/>
    <w:basedOn w:val="a"/>
    <w:uiPriority w:val="1"/>
    <w:qFormat/>
    <w:rsid w:val="00DD439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DD4393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DD4393"/>
    <w:rPr>
      <w:i/>
      <w:iCs/>
    </w:rPr>
  </w:style>
  <w:style w:type="character" w:customStyle="1" w:styleId="Char1">
    <w:name w:val="引用 Char"/>
    <w:basedOn w:val="a0"/>
    <w:link w:val="aa"/>
    <w:uiPriority w:val="29"/>
    <w:rsid w:val="00DD4393"/>
    <w:rPr>
      <w:i/>
      <w:iCs/>
      <w:color w:val="5A5A5A" w:themeColor="text1" w:themeTint="A5"/>
      <w:sz w:val="20"/>
      <w:szCs w:val="20"/>
    </w:rPr>
  </w:style>
  <w:style w:type="paragraph" w:styleId="ab">
    <w:name w:val="Intense Quote"/>
    <w:basedOn w:val="a"/>
    <w:next w:val="a"/>
    <w:link w:val="Char2"/>
    <w:uiPriority w:val="30"/>
    <w:qFormat/>
    <w:rsid w:val="00DD4393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</w:rPr>
  </w:style>
  <w:style w:type="character" w:customStyle="1" w:styleId="Char2">
    <w:name w:val="明显引用 Char"/>
    <w:basedOn w:val="a0"/>
    <w:link w:val="ab"/>
    <w:uiPriority w:val="30"/>
    <w:rsid w:val="00DD4393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ac">
    <w:name w:val="Subtle Emphasis"/>
    <w:uiPriority w:val="19"/>
    <w:qFormat/>
    <w:rsid w:val="00DD4393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DD4393"/>
    <w:rPr>
      <w:b/>
      <w:bCs/>
      <w:smallCaps/>
      <w:color w:val="DDDDDD" w:themeColor="accent1"/>
      <w:spacing w:val="40"/>
    </w:rPr>
  </w:style>
  <w:style w:type="character" w:styleId="ae">
    <w:name w:val="Subtle Reference"/>
    <w:uiPriority w:val="31"/>
    <w:qFormat/>
    <w:rsid w:val="00DD439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DD4393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af0">
    <w:name w:val="Book Title"/>
    <w:uiPriority w:val="33"/>
    <w:qFormat/>
    <w:rsid w:val="00DD4393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4393"/>
    <w:pPr>
      <w:outlineLvl w:val="9"/>
    </w:pPr>
  </w:style>
  <w:style w:type="paragraph" w:styleId="af1">
    <w:name w:val="Normal (Web)"/>
    <w:basedOn w:val="a"/>
    <w:uiPriority w:val="99"/>
    <w:unhideWhenUsed/>
    <w:rsid w:val="008745ED"/>
    <w:pPr>
      <w:spacing w:before="100" w:beforeAutospacing="1" w:after="100" w:afterAutospacing="1" w:line="240" w:lineRule="auto"/>
      <w:ind w:left="0"/>
    </w:pPr>
    <w:rPr>
      <w:rFonts w:ascii="宋体" w:eastAsia="宋体" w:hAnsi="宋体" w:cs="宋体"/>
      <w:color w:val="000000"/>
      <w:sz w:val="24"/>
      <w:szCs w:val="24"/>
      <w:lang w:eastAsia="zh-CN" w:bidi="ar-SA"/>
    </w:rPr>
  </w:style>
  <w:style w:type="character" w:customStyle="1" w:styleId="p11">
    <w:name w:val="p11"/>
    <w:basedOn w:val="a0"/>
    <w:rsid w:val="008745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经典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行云流水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  <a:satMod val="130000"/>
              </a:schemeClr>
            </a:gs>
            <a:gs pos="50000">
              <a:schemeClr val="phClr">
                <a:tint val="45000"/>
                <a:satMod val="220000"/>
              </a:schemeClr>
            </a:gs>
            <a:gs pos="100000">
              <a:schemeClr val="phClr">
                <a:tint val="90000"/>
                <a:satMod val="13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200000"/>
              </a:schemeClr>
            </a:gs>
            <a:gs pos="50000">
              <a:schemeClr val="phClr">
                <a:tint val="100000"/>
                <a:shade val="60000"/>
                <a:hueMod val="100000"/>
                <a:satMod val="180000"/>
              </a:schemeClr>
            </a:gs>
            <a:gs pos="100000">
              <a:schemeClr val="phClr">
                <a:tint val="100000"/>
                <a:shade val="90000"/>
                <a:hueMod val="100000"/>
                <a:satMod val="2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50600">
              <a:schemeClr val="phClr">
                <a:alpha val="40000"/>
              </a:schemeClr>
            </a:glow>
          </a:effectLst>
        </a:effectStyle>
        <a:effectStyle>
          <a:effectLst>
            <a:glow rad="101600">
              <a:schemeClr val="phClr">
                <a:alpha val="60000"/>
              </a:schemeClr>
            </a:glow>
          </a:effectLst>
          <a:scene3d>
            <a:camera prst="isometricLeftDown" fov="0">
              <a:rot lat="0" lon="0" rev="0"/>
            </a:camera>
            <a:lightRig rig="harsh" dir="tl">
              <a:rot lat="0" lon="0" rev="14280000"/>
            </a:lightRig>
          </a:scene3d>
          <a:sp3d prstMaterial="flat">
            <a:bevelT w="38100" h="50800" prst="softRound"/>
          </a:sp3d>
        </a:effectStyle>
        <a:effectStyle>
          <a:effectLst>
            <a:glow>
              <a:schemeClr val="phClr"/>
            </a:glow>
          </a:effectLst>
          <a:scene3d>
            <a:camera prst="isometricLeftDown">
              <a:rot lat="0" lon="0" rev="0"/>
            </a:camera>
            <a:lightRig rig="harsh" dir="tl">
              <a:rot lat="0" lon="0" rev="14280000"/>
            </a:lightRig>
          </a:scene3d>
          <a:sp3d extrusionH="63500" contourW="38100" prstMaterial="flat">
            <a:bevelT w="50800" h="63500" prst="softRound"/>
            <a:contourClr>
              <a:schemeClr val="phClr">
                <a:tint val="5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2012-04-23T08:00:00Z</dcterms:created>
  <dcterms:modified xsi:type="dcterms:W3CDTF">2012-04-23T08:01:00Z</dcterms:modified>
</cp:coreProperties>
</file>